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9E" w:rsidRDefault="008275B0" w:rsidP="0076079E">
      <w:pPr>
        <w:jc w:val="cente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14:anchorId="4899C076" wp14:editId="4D793D51">
            <wp:simplePos x="0" y="0"/>
            <wp:positionH relativeFrom="margin">
              <wp:posOffset>1400175</wp:posOffset>
            </wp:positionH>
            <wp:positionV relativeFrom="margin">
              <wp:posOffset>38100</wp:posOffset>
            </wp:positionV>
            <wp:extent cx="4057650" cy="2085975"/>
            <wp:effectExtent l="0" t="0" r="0" b="0"/>
            <wp:wrapSquare wrapText="bothSides"/>
            <wp:docPr id="2" name="Picture 2" descr="iwp-ajc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p-ajc_logo-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0" cy="2085975"/>
                    </a:xfrm>
                    <a:prstGeom prst="rect">
                      <a:avLst/>
                    </a:prstGeom>
                    <a:noFill/>
                  </pic:spPr>
                </pic:pic>
              </a:graphicData>
            </a:graphic>
            <wp14:sizeRelH relativeFrom="page">
              <wp14:pctWidth>0</wp14:pctWidth>
            </wp14:sizeRelH>
            <wp14:sizeRelV relativeFrom="page">
              <wp14:pctHeight>0</wp14:pctHeight>
            </wp14:sizeRelV>
          </wp:anchor>
        </w:drawing>
      </w:r>
    </w:p>
    <w:p w:rsidR="0076079E" w:rsidRPr="0076079E" w:rsidRDefault="0076079E" w:rsidP="0076079E"/>
    <w:p w:rsidR="0076079E" w:rsidRDefault="0076079E" w:rsidP="0076079E"/>
    <w:p w:rsidR="008275B0" w:rsidRDefault="008275B0" w:rsidP="0076079E">
      <w:pPr>
        <w:pStyle w:val="NoSpacing"/>
        <w:jc w:val="center"/>
        <w:rPr>
          <w:b/>
          <w:sz w:val="48"/>
          <w:szCs w:val="48"/>
        </w:rPr>
      </w:pPr>
    </w:p>
    <w:p w:rsidR="008275B0" w:rsidRDefault="008275B0" w:rsidP="0076079E">
      <w:pPr>
        <w:pStyle w:val="NoSpacing"/>
        <w:jc w:val="center"/>
        <w:rPr>
          <w:b/>
          <w:sz w:val="48"/>
          <w:szCs w:val="48"/>
        </w:rPr>
      </w:pPr>
    </w:p>
    <w:p w:rsidR="008275B0" w:rsidRDefault="008275B0" w:rsidP="0076079E">
      <w:pPr>
        <w:pStyle w:val="NoSpacing"/>
        <w:jc w:val="center"/>
        <w:rPr>
          <w:b/>
          <w:sz w:val="48"/>
          <w:szCs w:val="48"/>
        </w:rPr>
      </w:pPr>
    </w:p>
    <w:p w:rsidR="008275B0" w:rsidRDefault="008275B0" w:rsidP="0076079E">
      <w:pPr>
        <w:pStyle w:val="NoSpacing"/>
        <w:jc w:val="center"/>
        <w:rPr>
          <w:b/>
          <w:sz w:val="48"/>
          <w:szCs w:val="48"/>
        </w:rPr>
      </w:pPr>
    </w:p>
    <w:p w:rsidR="0014033C" w:rsidRPr="0076079E" w:rsidRDefault="0076079E" w:rsidP="0076079E">
      <w:pPr>
        <w:pStyle w:val="NoSpacing"/>
        <w:jc w:val="center"/>
        <w:rPr>
          <w:b/>
          <w:sz w:val="48"/>
          <w:szCs w:val="48"/>
        </w:rPr>
      </w:pPr>
      <w:r w:rsidRPr="0076079E">
        <w:rPr>
          <w:b/>
          <w:sz w:val="48"/>
          <w:szCs w:val="48"/>
        </w:rPr>
        <w:t>BUSINESS GRANTS FOR</w:t>
      </w:r>
    </w:p>
    <w:p w:rsidR="0076079E" w:rsidRPr="0076079E" w:rsidRDefault="0076079E" w:rsidP="0076079E">
      <w:pPr>
        <w:pStyle w:val="NoSpacing"/>
        <w:jc w:val="center"/>
        <w:rPr>
          <w:b/>
          <w:sz w:val="48"/>
          <w:szCs w:val="48"/>
        </w:rPr>
      </w:pPr>
      <w:r w:rsidRPr="0076079E">
        <w:rPr>
          <w:b/>
          <w:sz w:val="48"/>
          <w:szCs w:val="48"/>
        </w:rPr>
        <w:t>EMPLOYEE TRAINING</w:t>
      </w: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r>
        <w:rPr>
          <w:b/>
          <w:sz w:val="40"/>
          <w:szCs w:val="40"/>
        </w:rPr>
        <w:t>PROGRAM OVERVIEW</w:t>
      </w: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Pr="0076079E" w:rsidRDefault="0076079E" w:rsidP="0076079E">
      <w:pPr>
        <w:pStyle w:val="NoSpacing"/>
        <w:jc w:val="center"/>
        <w:rPr>
          <w:sz w:val="32"/>
          <w:szCs w:val="32"/>
        </w:rPr>
      </w:pPr>
      <w:r w:rsidRPr="0076079E">
        <w:rPr>
          <w:sz w:val="32"/>
          <w:szCs w:val="32"/>
        </w:rPr>
        <w:t>Land of Lincoln Workforce Alliance</w:t>
      </w:r>
    </w:p>
    <w:p w:rsidR="0076079E" w:rsidRPr="0076079E" w:rsidRDefault="0076079E" w:rsidP="0076079E">
      <w:pPr>
        <w:pStyle w:val="NoSpacing"/>
        <w:jc w:val="center"/>
        <w:rPr>
          <w:sz w:val="32"/>
          <w:szCs w:val="32"/>
        </w:rPr>
      </w:pPr>
      <w:r w:rsidRPr="0076079E">
        <w:rPr>
          <w:sz w:val="32"/>
          <w:szCs w:val="32"/>
        </w:rPr>
        <w:t>1300 South 9</w:t>
      </w:r>
      <w:r w:rsidRPr="0076079E">
        <w:rPr>
          <w:sz w:val="32"/>
          <w:szCs w:val="32"/>
          <w:vertAlign w:val="superscript"/>
        </w:rPr>
        <w:t>th</w:t>
      </w:r>
      <w:r w:rsidRPr="0076079E">
        <w:rPr>
          <w:sz w:val="32"/>
          <w:szCs w:val="32"/>
        </w:rPr>
        <w:t xml:space="preserve"> Street</w:t>
      </w:r>
    </w:p>
    <w:p w:rsidR="0076079E" w:rsidRDefault="0076079E" w:rsidP="0076079E">
      <w:pPr>
        <w:pStyle w:val="NoSpacing"/>
        <w:jc w:val="center"/>
        <w:rPr>
          <w:sz w:val="32"/>
          <w:szCs w:val="32"/>
        </w:rPr>
      </w:pPr>
      <w:r w:rsidRPr="0076079E">
        <w:rPr>
          <w:sz w:val="32"/>
          <w:szCs w:val="32"/>
        </w:rPr>
        <w:t>Springfield, Illinois (217) 558-4277</w:t>
      </w:r>
    </w:p>
    <w:p w:rsidR="0076079E" w:rsidRDefault="0076079E" w:rsidP="0076079E">
      <w:pPr>
        <w:pStyle w:val="NoSpacing"/>
        <w:jc w:val="center"/>
        <w:rPr>
          <w:sz w:val="32"/>
          <w:szCs w:val="32"/>
        </w:rPr>
      </w:pPr>
    </w:p>
    <w:p w:rsidR="00293522" w:rsidRDefault="00293522" w:rsidP="00B922FA">
      <w:pPr>
        <w:pStyle w:val="NoSpacing"/>
        <w:rPr>
          <w:b/>
          <w:sz w:val="24"/>
          <w:szCs w:val="24"/>
        </w:rPr>
      </w:pPr>
    </w:p>
    <w:p w:rsidR="00293522" w:rsidRDefault="00293522" w:rsidP="00B922FA">
      <w:pPr>
        <w:pStyle w:val="NoSpacing"/>
        <w:rPr>
          <w:b/>
          <w:sz w:val="24"/>
          <w:szCs w:val="24"/>
        </w:rPr>
      </w:pPr>
    </w:p>
    <w:p w:rsidR="00293522" w:rsidRDefault="00293522" w:rsidP="00B922FA">
      <w:pPr>
        <w:pStyle w:val="NoSpacing"/>
        <w:rPr>
          <w:b/>
          <w:sz w:val="24"/>
          <w:szCs w:val="24"/>
        </w:rPr>
      </w:pPr>
    </w:p>
    <w:p w:rsidR="008275B0" w:rsidRDefault="008275B0" w:rsidP="00B922FA">
      <w:pPr>
        <w:pStyle w:val="NoSpacing"/>
        <w:rPr>
          <w:b/>
          <w:sz w:val="24"/>
          <w:szCs w:val="24"/>
        </w:rPr>
      </w:pPr>
    </w:p>
    <w:p w:rsidR="008275B0" w:rsidRDefault="008275B0" w:rsidP="00B922FA">
      <w:pPr>
        <w:pStyle w:val="NoSpacing"/>
        <w:rPr>
          <w:b/>
          <w:sz w:val="24"/>
          <w:szCs w:val="24"/>
        </w:rPr>
      </w:pPr>
    </w:p>
    <w:p w:rsidR="008275B0" w:rsidRDefault="008275B0" w:rsidP="00B922FA">
      <w:pPr>
        <w:pStyle w:val="NoSpacing"/>
        <w:rPr>
          <w:b/>
          <w:sz w:val="24"/>
          <w:szCs w:val="24"/>
        </w:rPr>
      </w:pPr>
    </w:p>
    <w:p w:rsidR="008275B0" w:rsidRDefault="008275B0" w:rsidP="00B922FA">
      <w:pPr>
        <w:pStyle w:val="NoSpacing"/>
        <w:rPr>
          <w:b/>
          <w:sz w:val="24"/>
          <w:szCs w:val="24"/>
        </w:rPr>
      </w:pPr>
    </w:p>
    <w:p w:rsidR="008275B0" w:rsidRDefault="008275B0" w:rsidP="00B922FA">
      <w:pPr>
        <w:pStyle w:val="NoSpacing"/>
        <w:rPr>
          <w:b/>
          <w:sz w:val="24"/>
          <w:szCs w:val="24"/>
        </w:rPr>
      </w:pPr>
    </w:p>
    <w:p w:rsidR="00293522" w:rsidRDefault="00293522" w:rsidP="00B922FA">
      <w:pPr>
        <w:pStyle w:val="NoSpacing"/>
        <w:rPr>
          <w:b/>
          <w:sz w:val="24"/>
          <w:szCs w:val="24"/>
        </w:rPr>
      </w:pPr>
    </w:p>
    <w:p w:rsidR="00293522" w:rsidRDefault="00293522" w:rsidP="00B922FA">
      <w:pPr>
        <w:pStyle w:val="NoSpacing"/>
        <w:rPr>
          <w:b/>
          <w:sz w:val="24"/>
          <w:szCs w:val="24"/>
        </w:rPr>
      </w:pPr>
    </w:p>
    <w:p w:rsidR="0076079E" w:rsidRPr="00293522" w:rsidRDefault="00B922FA" w:rsidP="00B922FA">
      <w:pPr>
        <w:pStyle w:val="NoSpacing"/>
        <w:rPr>
          <w:b/>
          <w:sz w:val="28"/>
          <w:szCs w:val="28"/>
        </w:rPr>
      </w:pPr>
      <w:r w:rsidRPr="00293522">
        <w:rPr>
          <w:b/>
          <w:sz w:val="28"/>
          <w:szCs w:val="28"/>
        </w:rPr>
        <w:t>PURPOSE</w:t>
      </w:r>
    </w:p>
    <w:p w:rsidR="00B922FA" w:rsidRDefault="00B922FA" w:rsidP="00B922FA">
      <w:pPr>
        <w:pStyle w:val="NoSpacing"/>
        <w:rPr>
          <w:sz w:val="24"/>
          <w:szCs w:val="24"/>
        </w:rPr>
      </w:pPr>
      <w:r>
        <w:rPr>
          <w:sz w:val="24"/>
          <w:szCs w:val="24"/>
        </w:rPr>
        <w:t>The purpose of the Business Grants for Employee Training Program is to provide resources for employers to train currently employed workers in an effort to keep businesses and workers competitive.</w:t>
      </w:r>
    </w:p>
    <w:p w:rsidR="00B922FA" w:rsidRDefault="00B922FA" w:rsidP="00B922FA">
      <w:pPr>
        <w:pStyle w:val="NoSpacing"/>
        <w:rPr>
          <w:sz w:val="24"/>
          <w:szCs w:val="24"/>
        </w:rPr>
      </w:pPr>
    </w:p>
    <w:p w:rsidR="00B922FA" w:rsidRDefault="00B922FA" w:rsidP="00B922FA">
      <w:pPr>
        <w:pStyle w:val="NoSpacing"/>
        <w:rPr>
          <w:sz w:val="24"/>
          <w:szCs w:val="24"/>
        </w:rPr>
      </w:pPr>
      <w:r>
        <w:rPr>
          <w:sz w:val="24"/>
          <w:szCs w:val="24"/>
        </w:rPr>
        <w:t xml:space="preserve">Businesses must meet the following eligibility requirements to be </w:t>
      </w:r>
      <w:r w:rsidR="00FA4BD1">
        <w:rPr>
          <w:sz w:val="24"/>
          <w:szCs w:val="24"/>
        </w:rPr>
        <w:t>considered for funding:</w:t>
      </w:r>
    </w:p>
    <w:p w:rsidR="00FA4BD1" w:rsidRDefault="00FA4BD1" w:rsidP="00FA4BD1">
      <w:pPr>
        <w:pStyle w:val="NoSpacing"/>
        <w:numPr>
          <w:ilvl w:val="0"/>
          <w:numId w:val="1"/>
        </w:numPr>
        <w:rPr>
          <w:sz w:val="24"/>
          <w:szCs w:val="24"/>
        </w:rPr>
      </w:pPr>
      <w:r>
        <w:rPr>
          <w:sz w:val="24"/>
          <w:szCs w:val="24"/>
        </w:rPr>
        <w:t xml:space="preserve">Must have been in operation in Cass, Christian, </w:t>
      </w:r>
      <w:r w:rsidR="00D06106">
        <w:rPr>
          <w:sz w:val="24"/>
          <w:szCs w:val="24"/>
        </w:rPr>
        <w:t>Logan, Menard or Sangamon county</w:t>
      </w:r>
      <w:r>
        <w:rPr>
          <w:sz w:val="24"/>
          <w:szCs w:val="24"/>
        </w:rPr>
        <w:t xml:space="preserve"> for a minimum of six months prior to application for funding; and</w:t>
      </w:r>
    </w:p>
    <w:p w:rsidR="00FA4BD1" w:rsidRDefault="00FA4BD1" w:rsidP="00FA4BD1">
      <w:pPr>
        <w:pStyle w:val="NoSpacing"/>
        <w:numPr>
          <w:ilvl w:val="0"/>
          <w:numId w:val="1"/>
        </w:numPr>
        <w:rPr>
          <w:sz w:val="24"/>
          <w:szCs w:val="24"/>
        </w:rPr>
      </w:pPr>
      <w:r>
        <w:rPr>
          <w:sz w:val="24"/>
          <w:szCs w:val="24"/>
        </w:rPr>
        <w:t>Must have at least one full-time employee; and</w:t>
      </w:r>
    </w:p>
    <w:p w:rsidR="00FA4BD1" w:rsidRDefault="00FA4BD1" w:rsidP="00FA4BD1">
      <w:pPr>
        <w:pStyle w:val="NoSpacing"/>
        <w:numPr>
          <w:ilvl w:val="0"/>
          <w:numId w:val="1"/>
        </w:numPr>
        <w:rPr>
          <w:sz w:val="24"/>
          <w:szCs w:val="24"/>
        </w:rPr>
      </w:pPr>
      <w:r>
        <w:rPr>
          <w:sz w:val="24"/>
          <w:szCs w:val="24"/>
        </w:rPr>
        <w:t>Must demonstrate financial viability and must be current on all state, county, and local tax obligations; and</w:t>
      </w:r>
    </w:p>
    <w:p w:rsidR="00FA4BD1" w:rsidRDefault="00FA4BD1" w:rsidP="00FA4BD1">
      <w:pPr>
        <w:pStyle w:val="NoSpacing"/>
        <w:numPr>
          <w:ilvl w:val="0"/>
          <w:numId w:val="1"/>
        </w:numPr>
        <w:rPr>
          <w:sz w:val="24"/>
          <w:szCs w:val="24"/>
        </w:rPr>
      </w:pPr>
      <w:r>
        <w:rPr>
          <w:sz w:val="24"/>
          <w:szCs w:val="24"/>
        </w:rPr>
        <w:t>Must comply with the non-discrimination and equal opportunity provisions of Section 188 of the Workforce</w:t>
      </w:r>
      <w:r w:rsidR="00D06106">
        <w:rPr>
          <w:sz w:val="24"/>
          <w:szCs w:val="24"/>
        </w:rPr>
        <w:t xml:space="preserve"> Innovation and Opportunity Act of 2014</w:t>
      </w:r>
      <w:r>
        <w:rPr>
          <w:sz w:val="24"/>
          <w:szCs w:val="24"/>
        </w:rPr>
        <w:t>; Title VI of the Civil Rights Act of 1964; Section 504 of the Rehabilitation Act of 1973 ; Age Discrimination Act of 1975; Title IX of the Education Amendments of 1972; and with 29 C.F.R. Part 37; and</w:t>
      </w:r>
    </w:p>
    <w:p w:rsidR="00FA4BD1" w:rsidRDefault="00FA4BD1" w:rsidP="00FA4BD1">
      <w:pPr>
        <w:pStyle w:val="NoSpacing"/>
        <w:numPr>
          <w:ilvl w:val="0"/>
          <w:numId w:val="1"/>
        </w:numPr>
        <w:rPr>
          <w:sz w:val="24"/>
          <w:szCs w:val="24"/>
        </w:rPr>
      </w:pPr>
      <w:r>
        <w:rPr>
          <w:sz w:val="24"/>
          <w:szCs w:val="24"/>
        </w:rPr>
        <w:t>Must provide a match toward requested funding.</w:t>
      </w:r>
    </w:p>
    <w:p w:rsidR="00FA4BD1" w:rsidRDefault="00FA4BD1" w:rsidP="00FA4BD1">
      <w:pPr>
        <w:pStyle w:val="NoSpacing"/>
        <w:rPr>
          <w:sz w:val="24"/>
          <w:szCs w:val="24"/>
        </w:rPr>
      </w:pPr>
    </w:p>
    <w:p w:rsidR="00E84BE7" w:rsidRDefault="00E84BE7" w:rsidP="00FA4BD1">
      <w:pPr>
        <w:pStyle w:val="NoSpacing"/>
        <w:rPr>
          <w:sz w:val="24"/>
          <w:szCs w:val="24"/>
        </w:rPr>
      </w:pPr>
      <w:r>
        <w:rPr>
          <w:sz w:val="24"/>
          <w:szCs w:val="24"/>
        </w:rPr>
        <w:t>Priority is given to Ca</w:t>
      </w:r>
      <w:r w:rsidR="00D06106">
        <w:rPr>
          <w:sz w:val="24"/>
          <w:szCs w:val="24"/>
        </w:rPr>
        <w:t xml:space="preserve">ss, Christian, Logan, Menard or </w:t>
      </w:r>
      <w:r>
        <w:rPr>
          <w:sz w:val="24"/>
          <w:szCs w:val="24"/>
        </w:rPr>
        <w:t xml:space="preserve">Sangamon </w:t>
      </w:r>
      <w:r w:rsidR="00D06106">
        <w:rPr>
          <w:sz w:val="24"/>
          <w:szCs w:val="24"/>
        </w:rPr>
        <w:t>businesses that offer marketable skills and self-sufficient wages</w:t>
      </w:r>
      <w:r>
        <w:rPr>
          <w:sz w:val="24"/>
          <w:szCs w:val="24"/>
        </w:rPr>
        <w:t>.</w:t>
      </w:r>
    </w:p>
    <w:p w:rsidR="00E84BE7" w:rsidRDefault="00E84BE7" w:rsidP="00FA4BD1">
      <w:pPr>
        <w:pStyle w:val="NoSpacing"/>
        <w:rPr>
          <w:sz w:val="24"/>
          <w:szCs w:val="24"/>
        </w:rPr>
      </w:pPr>
    </w:p>
    <w:p w:rsidR="00E84BE7" w:rsidRDefault="00220D87" w:rsidP="00FA4BD1">
      <w:pPr>
        <w:pStyle w:val="NoSpacing"/>
        <w:rPr>
          <w:b/>
          <w:sz w:val="24"/>
          <w:szCs w:val="24"/>
        </w:rPr>
      </w:pPr>
      <w:r>
        <w:rPr>
          <w:b/>
          <w:sz w:val="24"/>
          <w:szCs w:val="24"/>
        </w:rPr>
        <w:t>Awards made in response to this application will be contingent upon availability of funds and released for the purposes authorized by this program</w:t>
      </w:r>
      <w:r w:rsidR="00C23CE2">
        <w:rPr>
          <w:b/>
          <w:sz w:val="24"/>
          <w:szCs w:val="24"/>
        </w:rPr>
        <w:t>.</w:t>
      </w:r>
    </w:p>
    <w:p w:rsidR="00C23CE2" w:rsidRDefault="00C23CE2" w:rsidP="00FA4BD1">
      <w:pPr>
        <w:pStyle w:val="NoSpacing"/>
        <w:rPr>
          <w:b/>
          <w:sz w:val="24"/>
          <w:szCs w:val="24"/>
        </w:rPr>
      </w:pPr>
    </w:p>
    <w:p w:rsidR="00C23CE2" w:rsidRDefault="00C23CE2" w:rsidP="00FA4BD1">
      <w:pPr>
        <w:pStyle w:val="NoSpacing"/>
        <w:rPr>
          <w:sz w:val="24"/>
          <w:szCs w:val="24"/>
        </w:rPr>
      </w:pPr>
      <w:r>
        <w:rPr>
          <w:sz w:val="24"/>
          <w:szCs w:val="24"/>
        </w:rPr>
        <w:t>Training needs to be complet</w:t>
      </w:r>
      <w:r w:rsidR="00D06106">
        <w:rPr>
          <w:sz w:val="24"/>
          <w:szCs w:val="24"/>
        </w:rPr>
        <w:t>ed by the contract end date</w:t>
      </w:r>
      <w:r>
        <w:rPr>
          <w:sz w:val="24"/>
          <w:szCs w:val="24"/>
        </w:rPr>
        <w:t xml:space="preserve"> unless otherwise authorized at time of grant approval.</w:t>
      </w:r>
    </w:p>
    <w:p w:rsidR="00C23CE2" w:rsidRDefault="00C23CE2" w:rsidP="00FA4BD1">
      <w:pPr>
        <w:pStyle w:val="NoSpacing"/>
        <w:rPr>
          <w:sz w:val="24"/>
          <w:szCs w:val="24"/>
        </w:rPr>
      </w:pPr>
    </w:p>
    <w:p w:rsidR="00C23CE2" w:rsidRDefault="00C23CE2" w:rsidP="00FA4BD1">
      <w:pPr>
        <w:pStyle w:val="NoSpacing"/>
        <w:rPr>
          <w:sz w:val="24"/>
          <w:szCs w:val="24"/>
        </w:rPr>
      </w:pPr>
      <w:r>
        <w:rPr>
          <w:sz w:val="24"/>
          <w:szCs w:val="24"/>
        </w:rPr>
        <w:t>Employers participating</w:t>
      </w:r>
      <w:r w:rsidR="00D452E8">
        <w:rPr>
          <w:sz w:val="24"/>
          <w:szCs w:val="24"/>
        </w:rPr>
        <w:t xml:space="preserve"> in the program are required to provide a match to the training costs as indicated below:</w:t>
      </w:r>
    </w:p>
    <w:p w:rsidR="00D452E8" w:rsidRDefault="00D452E8" w:rsidP="00D452E8">
      <w:pPr>
        <w:pStyle w:val="NoSpacing"/>
        <w:numPr>
          <w:ilvl w:val="0"/>
          <w:numId w:val="2"/>
        </w:numPr>
        <w:rPr>
          <w:sz w:val="24"/>
          <w:szCs w:val="24"/>
        </w:rPr>
      </w:pPr>
      <w:r>
        <w:rPr>
          <w:sz w:val="24"/>
          <w:szCs w:val="24"/>
        </w:rPr>
        <w:t>10 percent of the costs, for employers with 50 or fewer employees</w:t>
      </w:r>
    </w:p>
    <w:p w:rsidR="00D452E8" w:rsidRDefault="00D452E8" w:rsidP="00D452E8">
      <w:pPr>
        <w:pStyle w:val="NoSpacing"/>
        <w:numPr>
          <w:ilvl w:val="0"/>
          <w:numId w:val="2"/>
        </w:numPr>
        <w:rPr>
          <w:sz w:val="24"/>
          <w:szCs w:val="24"/>
        </w:rPr>
      </w:pPr>
      <w:r>
        <w:rPr>
          <w:sz w:val="24"/>
          <w:szCs w:val="24"/>
        </w:rPr>
        <w:t>25 percent of the costs, for employers with 51 to 100 employees</w:t>
      </w:r>
    </w:p>
    <w:p w:rsidR="00D452E8" w:rsidRDefault="00D452E8" w:rsidP="00D452E8">
      <w:pPr>
        <w:pStyle w:val="NoSpacing"/>
        <w:numPr>
          <w:ilvl w:val="0"/>
          <w:numId w:val="2"/>
        </w:numPr>
        <w:rPr>
          <w:sz w:val="24"/>
          <w:szCs w:val="24"/>
        </w:rPr>
      </w:pPr>
      <w:r>
        <w:rPr>
          <w:sz w:val="24"/>
          <w:szCs w:val="24"/>
        </w:rPr>
        <w:t>50 percent of the costs, for employers with 101 or more employees</w:t>
      </w:r>
    </w:p>
    <w:p w:rsidR="00D452E8" w:rsidRDefault="00D452E8" w:rsidP="00D452E8">
      <w:pPr>
        <w:pStyle w:val="NoSpacing"/>
        <w:rPr>
          <w:sz w:val="24"/>
          <w:szCs w:val="24"/>
        </w:rPr>
      </w:pPr>
    </w:p>
    <w:p w:rsidR="00D452E8" w:rsidRDefault="00D452E8" w:rsidP="00D452E8">
      <w:pPr>
        <w:pStyle w:val="NoSpacing"/>
        <w:rPr>
          <w:sz w:val="24"/>
          <w:szCs w:val="24"/>
        </w:rPr>
      </w:pPr>
      <w:r>
        <w:rPr>
          <w:sz w:val="24"/>
          <w:szCs w:val="24"/>
        </w:rPr>
        <w:t>The employer match may include the amount of the wages and benefits/fringes paid by the employer to a worker while the worker is attending training and may also include in-kind contributions.</w:t>
      </w:r>
    </w:p>
    <w:p w:rsidR="00D452E8" w:rsidRDefault="00D452E8" w:rsidP="00D452E8">
      <w:pPr>
        <w:pStyle w:val="NoSpacing"/>
        <w:rPr>
          <w:sz w:val="24"/>
          <w:szCs w:val="24"/>
        </w:rPr>
      </w:pPr>
    </w:p>
    <w:p w:rsidR="00D452E8" w:rsidRDefault="00D452E8" w:rsidP="00D452E8">
      <w:pPr>
        <w:pStyle w:val="NoSpacing"/>
        <w:rPr>
          <w:b/>
          <w:sz w:val="24"/>
          <w:szCs w:val="24"/>
        </w:rPr>
      </w:pPr>
      <w:r>
        <w:rPr>
          <w:b/>
          <w:sz w:val="24"/>
          <w:szCs w:val="24"/>
        </w:rPr>
        <w:t>Funding is provided on a reimbursable basis. Reimburse</w:t>
      </w:r>
      <w:r w:rsidR="00D06106">
        <w:rPr>
          <w:b/>
          <w:sz w:val="24"/>
          <w:szCs w:val="24"/>
        </w:rPr>
        <w:t>ment for training will only be for successful completion of</w:t>
      </w:r>
      <w:r>
        <w:rPr>
          <w:b/>
          <w:sz w:val="24"/>
          <w:szCs w:val="24"/>
        </w:rPr>
        <w:t xml:space="preserve"> training.</w:t>
      </w:r>
    </w:p>
    <w:p w:rsidR="00D452E8" w:rsidRDefault="00D452E8" w:rsidP="00D452E8">
      <w:pPr>
        <w:pStyle w:val="NoSpacing"/>
        <w:rPr>
          <w:b/>
          <w:sz w:val="24"/>
          <w:szCs w:val="24"/>
        </w:rPr>
      </w:pPr>
    </w:p>
    <w:p w:rsidR="00D452E8" w:rsidRPr="00293522" w:rsidRDefault="00D452E8" w:rsidP="00D452E8">
      <w:pPr>
        <w:pStyle w:val="NoSpacing"/>
        <w:rPr>
          <w:b/>
          <w:sz w:val="28"/>
          <w:szCs w:val="28"/>
        </w:rPr>
      </w:pPr>
      <w:r w:rsidRPr="00293522">
        <w:rPr>
          <w:b/>
          <w:sz w:val="28"/>
          <w:szCs w:val="28"/>
        </w:rPr>
        <w:t>ELIGIBLE APPLICANTS AND TRAINING ACTIVITIES</w:t>
      </w:r>
    </w:p>
    <w:p w:rsidR="00D452E8" w:rsidRDefault="00D452E8" w:rsidP="00D452E8">
      <w:pPr>
        <w:pStyle w:val="NoSpacing"/>
        <w:rPr>
          <w:sz w:val="24"/>
          <w:szCs w:val="24"/>
        </w:rPr>
      </w:pPr>
      <w:r>
        <w:rPr>
          <w:sz w:val="24"/>
          <w:szCs w:val="24"/>
        </w:rPr>
        <w:t>Businesses that are located in Ca</w:t>
      </w:r>
      <w:r w:rsidR="00D06106">
        <w:rPr>
          <w:sz w:val="24"/>
          <w:szCs w:val="24"/>
        </w:rPr>
        <w:t>ss, Christian, Logan, Menard or</w:t>
      </w:r>
      <w:r>
        <w:rPr>
          <w:sz w:val="24"/>
          <w:szCs w:val="24"/>
        </w:rPr>
        <w:t xml:space="preserve"> Sangamon </w:t>
      </w:r>
      <w:r w:rsidR="00D06106">
        <w:rPr>
          <w:sz w:val="24"/>
          <w:szCs w:val="24"/>
        </w:rPr>
        <w:t>county</w:t>
      </w:r>
      <w:r>
        <w:rPr>
          <w:sz w:val="24"/>
          <w:szCs w:val="24"/>
        </w:rPr>
        <w:t xml:space="preserve"> may</w:t>
      </w:r>
      <w:r w:rsidR="007B5955">
        <w:rPr>
          <w:sz w:val="24"/>
          <w:szCs w:val="24"/>
        </w:rPr>
        <w:t xml:space="preserve"> be eligible for reimbursement o</w:t>
      </w:r>
      <w:r>
        <w:rPr>
          <w:sz w:val="24"/>
          <w:szCs w:val="24"/>
        </w:rPr>
        <w:t>f approved training costs if they:</w:t>
      </w:r>
    </w:p>
    <w:p w:rsidR="00D452E8" w:rsidRDefault="00D452E8" w:rsidP="00D452E8">
      <w:pPr>
        <w:pStyle w:val="NoSpacing"/>
        <w:numPr>
          <w:ilvl w:val="0"/>
          <w:numId w:val="3"/>
        </w:numPr>
        <w:rPr>
          <w:sz w:val="24"/>
          <w:szCs w:val="24"/>
        </w:rPr>
      </w:pPr>
      <w:r>
        <w:rPr>
          <w:sz w:val="24"/>
          <w:szCs w:val="24"/>
        </w:rPr>
        <w:t xml:space="preserve">Are expanding </w:t>
      </w:r>
      <w:r w:rsidR="00444C6D">
        <w:rPr>
          <w:sz w:val="24"/>
          <w:szCs w:val="24"/>
        </w:rPr>
        <w:t xml:space="preserve">their business enterprise in </w:t>
      </w:r>
      <w:r>
        <w:rPr>
          <w:sz w:val="24"/>
          <w:szCs w:val="24"/>
        </w:rPr>
        <w:t xml:space="preserve"> one of the above counties and/or</w:t>
      </w:r>
    </w:p>
    <w:p w:rsidR="00D452E8" w:rsidRDefault="00D452E8" w:rsidP="00D452E8">
      <w:pPr>
        <w:pStyle w:val="NoSpacing"/>
        <w:numPr>
          <w:ilvl w:val="0"/>
          <w:numId w:val="3"/>
        </w:numPr>
        <w:rPr>
          <w:sz w:val="24"/>
          <w:szCs w:val="24"/>
        </w:rPr>
      </w:pPr>
      <w:r>
        <w:rPr>
          <w:sz w:val="24"/>
          <w:szCs w:val="24"/>
        </w:rPr>
        <w:lastRenderedPageBreak/>
        <w:t>Are training employees in skills necessary to enable the company to establish, maintain or expand into new markets and/or</w:t>
      </w:r>
    </w:p>
    <w:p w:rsidR="00D452E8" w:rsidRDefault="00D452E8" w:rsidP="00D452E8">
      <w:pPr>
        <w:pStyle w:val="NoSpacing"/>
        <w:numPr>
          <w:ilvl w:val="0"/>
          <w:numId w:val="3"/>
        </w:numPr>
        <w:rPr>
          <w:sz w:val="24"/>
          <w:szCs w:val="24"/>
        </w:rPr>
      </w:pPr>
      <w:r>
        <w:rPr>
          <w:sz w:val="24"/>
          <w:szCs w:val="24"/>
        </w:rPr>
        <w:t>Are introducing more efficient technologies/continuous improvement systems into their operations which will result in greater output per employee, including quality certifications and/or</w:t>
      </w:r>
    </w:p>
    <w:p w:rsidR="00D452E8" w:rsidRDefault="00D452E8" w:rsidP="00D452E8">
      <w:pPr>
        <w:pStyle w:val="NoSpacing"/>
        <w:numPr>
          <w:ilvl w:val="0"/>
          <w:numId w:val="3"/>
        </w:numPr>
        <w:rPr>
          <w:sz w:val="24"/>
          <w:szCs w:val="24"/>
        </w:rPr>
      </w:pPr>
      <w:r>
        <w:rPr>
          <w:sz w:val="24"/>
          <w:szCs w:val="24"/>
        </w:rPr>
        <w:t>Are providing additional training to employees who will be threatened with layoff and/or</w:t>
      </w:r>
    </w:p>
    <w:p w:rsidR="00D452E8" w:rsidRDefault="00D452E8" w:rsidP="00D452E8">
      <w:pPr>
        <w:pStyle w:val="NoSpacing"/>
        <w:numPr>
          <w:ilvl w:val="0"/>
          <w:numId w:val="3"/>
        </w:numPr>
        <w:rPr>
          <w:sz w:val="24"/>
          <w:szCs w:val="24"/>
        </w:rPr>
      </w:pPr>
      <w:r>
        <w:rPr>
          <w:sz w:val="24"/>
          <w:szCs w:val="24"/>
        </w:rPr>
        <w:t>Are providing training that will result in benefits to employees such as: enhanced employability</w:t>
      </w:r>
      <w:r w:rsidR="00815229">
        <w:rPr>
          <w:sz w:val="24"/>
          <w:szCs w:val="24"/>
        </w:rPr>
        <w:t>, job upgrades, increased wages, increased job security and/or</w:t>
      </w:r>
    </w:p>
    <w:p w:rsidR="00815229" w:rsidRDefault="00815229" w:rsidP="00D452E8">
      <w:pPr>
        <w:pStyle w:val="NoSpacing"/>
        <w:numPr>
          <w:ilvl w:val="0"/>
          <w:numId w:val="3"/>
        </w:numPr>
        <w:rPr>
          <w:sz w:val="24"/>
          <w:szCs w:val="24"/>
        </w:rPr>
      </w:pPr>
      <w:r>
        <w:rPr>
          <w:sz w:val="24"/>
          <w:szCs w:val="24"/>
        </w:rPr>
        <w:t>Are providing job-linked training programs in response to new or changing technologies, processes, product lines, machinery or equipment being introduced in the workplace.</w:t>
      </w:r>
    </w:p>
    <w:p w:rsidR="00730D9E" w:rsidRDefault="00730D9E" w:rsidP="00730D9E">
      <w:pPr>
        <w:pStyle w:val="NoSpacing"/>
        <w:rPr>
          <w:sz w:val="24"/>
          <w:szCs w:val="24"/>
        </w:rPr>
      </w:pPr>
    </w:p>
    <w:p w:rsidR="00730D9E" w:rsidRDefault="00730D9E" w:rsidP="00730D9E">
      <w:pPr>
        <w:pStyle w:val="NoSpacing"/>
        <w:rPr>
          <w:sz w:val="24"/>
          <w:szCs w:val="24"/>
        </w:rPr>
      </w:pPr>
      <w:r>
        <w:rPr>
          <w:sz w:val="24"/>
          <w:szCs w:val="24"/>
        </w:rPr>
        <w:t>Employees must be full-time employees of the business</w:t>
      </w:r>
      <w:r w:rsidR="00D06106">
        <w:rPr>
          <w:sz w:val="24"/>
          <w:szCs w:val="24"/>
        </w:rPr>
        <w:t xml:space="preserve">. </w:t>
      </w:r>
      <w:r>
        <w:rPr>
          <w:sz w:val="24"/>
          <w:szCs w:val="24"/>
        </w:rPr>
        <w:t>Part-time, seasonal or temporary agencies are not eligible to participate in the Incumbent Worker project.</w:t>
      </w:r>
    </w:p>
    <w:p w:rsidR="00730D9E" w:rsidRDefault="00730D9E" w:rsidP="00730D9E">
      <w:pPr>
        <w:pStyle w:val="NoSpacing"/>
        <w:rPr>
          <w:sz w:val="24"/>
          <w:szCs w:val="24"/>
        </w:rPr>
      </w:pPr>
    </w:p>
    <w:p w:rsidR="00730D9E" w:rsidRDefault="00730D9E" w:rsidP="00730D9E">
      <w:pPr>
        <w:pStyle w:val="NoSpacing"/>
        <w:rPr>
          <w:sz w:val="24"/>
          <w:szCs w:val="24"/>
        </w:rPr>
      </w:pPr>
      <w:r>
        <w:rPr>
          <w:sz w:val="24"/>
          <w:szCs w:val="24"/>
        </w:rPr>
        <w:t>Applications will be evaluated according to the following criteria:</w:t>
      </w:r>
    </w:p>
    <w:p w:rsidR="00730D9E" w:rsidRDefault="00730D9E" w:rsidP="00730D9E">
      <w:pPr>
        <w:pStyle w:val="NoSpacing"/>
        <w:numPr>
          <w:ilvl w:val="0"/>
          <w:numId w:val="4"/>
        </w:numPr>
        <w:rPr>
          <w:sz w:val="24"/>
          <w:szCs w:val="24"/>
        </w:rPr>
      </w:pPr>
      <w:r>
        <w:rPr>
          <w:sz w:val="24"/>
          <w:szCs w:val="24"/>
        </w:rPr>
        <w:t>Project readiness (e.g. time schedule for project)</w:t>
      </w:r>
    </w:p>
    <w:p w:rsidR="00730D9E" w:rsidRDefault="00730D9E" w:rsidP="00730D9E">
      <w:pPr>
        <w:pStyle w:val="NoSpacing"/>
        <w:numPr>
          <w:ilvl w:val="0"/>
          <w:numId w:val="4"/>
        </w:numPr>
        <w:rPr>
          <w:sz w:val="24"/>
          <w:szCs w:val="24"/>
        </w:rPr>
      </w:pPr>
      <w:r>
        <w:rPr>
          <w:sz w:val="24"/>
          <w:szCs w:val="24"/>
        </w:rPr>
        <w:t>Specific and measurable training objectives</w:t>
      </w:r>
    </w:p>
    <w:p w:rsidR="00730D9E" w:rsidRDefault="00730D9E" w:rsidP="00730D9E">
      <w:pPr>
        <w:pStyle w:val="NoSpacing"/>
        <w:numPr>
          <w:ilvl w:val="0"/>
          <w:numId w:val="4"/>
        </w:numPr>
        <w:rPr>
          <w:sz w:val="24"/>
          <w:szCs w:val="24"/>
        </w:rPr>
      </w:pPr>
      <w:r>
        <w:rPr>
          <w:sz w:val="24"/>
          <w:szCs w:val="24"/>
        </w:rPr>
        <w:t>Level of value-added for the specific industry</w:t>
      </w:r>
    </w:p>
    <w:p w:rsidR="00730D9E" w:rsidRDefault="00730D9E" w:rsidP="00730D9E">
      <w:pPr>
        <w:pStyle w:val="NoSpacing"/>
        <w:numPr>
          <w:ilvl w:val="0"/>
          <w:numId w:val="4"/>
        </w:numPr>
        <w:rPr>
          <w:sz w:val="24"/>
          <w:szCs w:val="24"/>
        </w:rPr>
      </w:pPr>
      <w:r>
        <w:rPr>
          <w:sz w:val="24"/>
          <w:szCs w:val="24"/>
        </w:rPr>
        <w:t>Quality and consistency of the proposed training programs</w:t>
      </w:r>
    </w:p>
    <w:p w:rsidR="00730D9E" w:rsidRDefault="00730D9E" w:rsidP="00730D9E">
      <w:pPr>
        <w:pStyle w:val="NoSpacing"/>
        <w:numPr>
          <w:ilvl w:val="0"/>
          <w:numId w:val="4"/>
        </w:numPr>
        <w:rPr>
          <w:sz w:val="24"/>
          <w:szCs w:val="24"/>
        </w:rPr>
      </w:pPr>
      <w:r>
        <w:rPr>
          <w:sz w:val="24"/>
          <w:szCs w:val="24"/>
        </w:rPr>
        <w:t>Overall quality of application</w:t>
      </w:r>
    </w:p>
    <w:p w:rsidR="00D06106" w:rsidRDefault="00D06106" w:rsidP="00730D9E">
      <w:pPr>
        <w:pStyle w:val="NoSpacing"/>
        <w:numPr>
          <w:ilvl w:val="0"/>
          <w:numId w:val="4"/>
        </w:numPr>
        <w:rPr>
          <w:sz w:val="24"/>
          <w:szCs w:val="24"/>
        </w:rPr>
      </w:pPr>
      <w:r>
        <w:rPr>
          <w:sz w:val="24"/>
          <w:szCs w:val="24"/>
        </w:rPr>
        <w:t>Cost is reasonable in relation to the type of training and number of workers</w:t>
      </w:r>
    </w:p>
    <w:p w:rsidR="00730D9E" w:rsidRDefault="00730D9E" w:rsidP="00730D9E">
      <w:pPr>
        <w:pStyle w:val="NoSpacing"/>
        <w:rPr>
          <w:sz w:val="24"/>
          <w:szCs w:val="24"/>
        </w:rPr>
      </w:pPr>
    </w:p>
    <w:p w:rsidR="00730D9E" w:rsidRDefault="00730D9E" w:rsidP="00730D9E">
      <w:pPr>
        <w:pStyle w:val="NoSpacing"/>
        <w:rPr>
          <w:sz w:val="24"/>
          <w:szCs w:val="24"/>
        </w:rPr>
      </w:pPr>
      <w:r>
        <w:rPr>
          <w:sz w:val="24"/>
          <w:szCs w:val="24"/>
        </w:rPr>
        <w:t xml:space="preserve">Applicants are limited to businesses </w:t>
      </w:r>
      <w:r w:rsidR="00293522">
        <w:rPr>
          <w:sz w:val="24"/>
          <w:szCs w:val="24"/>
        </w:rPr>
        <w:t xml:space="preserve">with the </w:t>
      </w:r>
      <w:r>
        <w:rPr>
          <w:sz w:val="24"/>
          <w:szCs w:val="24"/>
        </w:rPr>
        <w:t>targeted industry sectors listed below:</w:t>
      </w:r>
    </w:p>
    <w:p w:rsidR="00730D9E" w:rsidRDefault="00D06106" w:rsidP="00730D9E">
      <w:pPr>
        <w:pStyle w:val="NoSpacing"/>
        <w:numPr>
          <w:ilvl w:val="0"/>
          <w:numId w:val="5"/>
        </w:numPr>
        <w:rPr>
          <w:sz w:val="24"/>
          <w:szCs w:val="24"/>
        </w:rPr>
      </w:pPr>
      <w:r>
        <w:rPr>
          <w:sz w:val="24"/>
          <w:szCs w:val="24"/>
        </w:rPr>
        <w:t>Healthcare</w:t>
      </w:r>
    </w:p>
    <w:p w:rsidR="00D06106" w:rsidRDefault="00D06106" w:rsidP="00D06106">
      <w:pPr>
        <w:pStyle w:val="NoSpacing"/>
        <w:numPr>
          <w:ilvl w:val="0"/>
          <w:numId w:val="5"/>
        </w:numPr>
        <w:rPr>
          <w:sz w:val="24"/>
          <w:szCs w:val="24"/>
        </w:rPr>
      </w:pPr>
      <w:r>
        <w:rPr>
          <w:sz w:val="24"/>
          <w:szCs w:val="24"/>
        </w:rPr>
        <w:t>Transportation/Distribution/Logistics (TDL)</w:t>
      </w:r>
    </w:p>
    <w:p w:rsidR="00730D9E" w:rsidRDefault="00730D9E" w:rsidP="00730D9E">
      <w:pPr>
        <w:pStyle w:val="NoSpacing"/>
        <w:numPr>
          <w:ilvl w:val="0"/>
          <w:numId w:val="5"/>
        </w:numPr>
        <w:rPr>
          <w:sz w:val="24"/>
          <w:szCs w:val="24"/>
        </w:rPr>
      </w:pPr>
      <w:r>
        <w:rPr>
          <w:sz w:val="24"/>
          <w:szCs w:val="24"/>
        </w:rPr>
        <w:t>Manufacturing</w:t>
      </w:r>
    </w:p>
    <w:p w:rsidR="00730D9E" w:rsidRDefault="00730D9E" w:rsidP="00730D9E">
      <w:pPr>
        <w:pStyle w:val="NoSpacing"/>
        <w:numPr>
          <w:ilvl w:val="0"/>
          <w:numId w:val="5"/>
        </w:numPr>
        <w:rPr>
          <w:sz w:val="24"/>
          <w:szCs w:val="24"/>
        </w:rPr>
      </w:pPr>
      <w:r>
        <w:rPr>
          <w:sz w:val="24"/>
          <w:szCs w:val="24"/>
        </w:rPr>
        <w:t>Business Services</w:t>
      </w:r>
      <w:r w:rsidR="00D06106">
        <w:rPr>
          <w:sz w:val="24"/>
          <w:szCs w:val="24"/>
        </w:rPr>
        <w:t xml:space="preserve"> and Finance</w:t>
      </w:r>
    </w:p>
    <w:p w:rsidR="00D06106" w:rsidRDefault="00D06106" w:rsidP="00D06106">
      <w:pPr>
        <w:pStyle w:val="NoSpacing"/>
        <w:numPr>
          <w:ilvl w:val="0"/>
          <w:numId w:val="5"/>
        </w:numPr>
        <w:rPr>
          <w:sz w:val="24"/>
          <w:szCs w:val="24"/>
        </w:rPr>
      </w:pPr>
      <w:r>
        <w:rPr>
          <w:sz w:val="24"/>
          <w:szCs w:val="24"/>
        </w:rPr>
        <w:t>Hospitality and Tourism</w:t>
      </w:r>
    </w:p>
    <w:p w:rsidR="00D06106" w:rsidRDefault="00D06106" w:rsidP="00D06106">
      <w:pPr>
        <w:pStyle w:val="NoSpacing"/>
        <w:numPr>
          <w:ilvl w:val="0"/>
          <w:numId w:val="5"/>
        </w:numPr>
        <w:rPr>
          <w:sz w:val="24"/>
          <w:szCs w:val="24"/>
        </w:rPr>
      </w:pPr>
      <w:r>
        <w:rPr>
          <w:sz w:val="24"/>
          <w:szCs w:val="24"/>
        </w:rPr>
        <w:t>Marketing and Sales</w:t>
      </w:r>
    </w:p>
    <w:p w:rsidR="00730D9E" w:rsidRDefault="00730D9E" w:rsidP="00730D9E">
      <w:pPr>
        <w:pStyle w:val="NoSpacing"/>
        <w:rPr>
          <w:sz w:val="24"/>
          <w:szCs w:val="24"/>
        </w:rPr>
      </w:pPr>
    </w:p>
    <w:p w:rsidR="00730D9E" w:rsidRDefault="00730D9E" w:rsidP="00730D9E">
      <w:pPr>
        <w:pStyle w:val="NoSpacing"/>
        <w:rPr>
          <w:sz w:val="24"/>
          <w:szCs w:val="24"/>
        </w:rPr>
      </w:pPr>
      <w:r>
        <w:rPr>
          <w:sz w:val="24"/>
          <w:szCs w:val="24"/>
        </w:rPr>
        <w:t>Industry sector exceptions will be considered on</w:t>
      </w:r>
      <w:r w:rsidR="00444C6D">
        <w:rPr>
          <w:sz w:val="24"/>
          <w:szCs w:val="24"/>
        </w:rPr>
        <w:t xml:space="preserve"> a</w:t>
      </w:r>
      <w:r>
        <w:rPr>
          <w:sz w:val="24"/>
          <w:szCs w:val="24"/>
        </w:rPr>
        <w:t xml:space="preserve"> case by case basis</w:t>
      </w:r>
      <w:r w:rsidR="00D06106">
        <w:rPr>
          <w:sz w:val="24"/>
          <w:szCs w:val="24"/>
        </w:rPr>
        <w:t>.</w:t>
      </w:r>
    </w:p>
    <w:p w:rsidR="00BF4FB4" w:rsidRDefault="00BF4FB4" w:rsidP="00730D9E">
      <w:pPr>
        <w:pStyle w:val="NoSpacing"/>
        <w:rPr>
          <w:sz w:val="24"/>
          <w:szCs w:val="24"/>
        </w:rPr>
      </w:pPr>
    </w:p>
    <w:p w:rsidR="00BF4FB4" w:rsidRPr="00293522" w:rsidRDefault="00BF4FB4" w:rsidP="00730D9E">
      <w:pPr>
        <w:pStyle w:val="NoSpacing"/>
        <w:rPr>
          <w:b/>
          <w:sz w:val="28"/>
          <w:szCs w:val="28"/>
        </w:rPr>
      </w:pPr>
      <w:r w:rsidRPr="00293522">
        <w:rPr>
          <w:b/>
          <w:sz w:val="28"/>
          <w:szCs w:val="28"/>
        </w:rPr>
        <w:t>INELIGIBLE APPLICANTS</w:t>
      </w:r>
    </w:p>
    <w:p w:rsidR="00BF4FB4" w:rsidRPr="00BF4FB4" w:rsidRDefault="00BF4FB4" w:rsidP="00BF4FB4">
      <w:pPr>
        <w:pStyle w:val="NoSpacing"/>
        <w:numPr>
          <w:ilvl w:val="0"/>
          <w:numId w:val="7"/>
        </w:numPr>
        <w:rPr>
          <w:b/>
          <w:sz w:val="24"/>
          <w:szCs w:val="24"/>
        </w:rPr>
      </w:pPr>
      <w:r>
        <w:rPr>
          <w:sz w:val="24"/>
          <w:szCs w:val="24"/>
        </w:rPr>
        <w:t>Units of local, municipal, home rule, county, state or federal government</w:t>
      </w:r>
    </w:p>
    <w:p w:rsidR="00BF4FB4" w:rsidRPr="00BF4FB4" w:rsidRDefault="00BF4FB4" w:rsidP="00BF4FB4">
      <w:pPr>
        <w:pStyle w:val="NoSpacing"/>
        <w:numPr>
          <w:ilvl w:val="0"/>
          <w:numId w:val="7"/>
        </w:numPr>
        <w:rPr>
          <w:b/>
          <w:sz w:val="24"/>
          <w:szCs w:val="24"/>
        </w:rPr>
      </w:pPr>
      <w:r>
        <w:rPr>
          <w:sz w:val="24"/>
          <w:szCs w:val="24"/>
        </w:rPr>
        <w:t>Government agencies</w:t>
      </w:r>
    </w:p>
    <w:p w:rsidR="00BF4FB4" w:rsidRPr="00BF4FB4" w:rsidRDefault="00BF4FB4" w:rsidP="00BF4FB4">
      <w:pPr>
        <w:pStyle w:val="NoSpacing"/>
        <w:numPr>
          <w:ilvl w:val="0"/>
          <w:numId w:val="7"/>
        </w:numPr>
        <w:rPr>
          <w:b/>
          <w:sz w:val="24"/>
          <w:szCs w:val="24"/>
        </w:rPr>
      </w:pPr>
      <w:r>
        <w:rPr>
          <w:sz w:val="24"/>
          <w:szCs w:val="24"/>
        </w:rPr>
        <w:t>Government-operated facilities</w:t>
      </w:r>
    </w:p>
    <w:p w:rsidR="00BF4FB4" w:rsidRPr="00BF4FB4" w:rsidRDefault="00BF4FB4" w:rsidP="00BF4FB4">
      <w:pPr>
        <w:pStyle w:val="NoSpacing"/>
        <w:numPr>
          <w:ilvl w:val="0"/>
          <w:numId w:val="7"/>
        </w:numPr>
        <w:rPr>
          <w:b/>
          <w:sz w:val="24"/>
          <w:szCs w:val="24"/>
        </w:rPr>
      </w:pPr>
      <w:r>
        <w:rPr>
          <w:sz w:val="24"/>
          <w:szCs w:val="24"/>
        </w:rPr>
        <w:t>Training vendors or consultants</w:t>
      </w:r>
    </w:p>
    <w:p w:rsidR="00BF4FB4" w:rsidRPr="00BF4FB4" w:rsidRDefault="00BF4FB4" w:rsidP="00BF4FB4">
      <w:pPr>
        <w:pStyle w:val="NoSpacing"/>
        <w:numPr>
          <w:ilvl w:val="0"/>
          <w:numId w:val="7"/>
        </w:numPr>
        <w:rPr>
          <w:b/>
          <w:sz w:val="24"/>
          <w:szCs w:val="24"/>
        </w:rPr>
      </w:pPr>
      <w:r>
        <w:rPr>
          <w:sz w:val="24"/>
          <w:szCs w:val="24"/>
        </w:rPr>
        <w:t>Professional and consulting services</w:t>
      </w:r>
    </w:p>
    <w:p w:rsidR="00D06106" w:rsidRDefault="00BF4FB4" w:rsidP="00D06106">
      <w:pPr>
        <w:pStyle w:val="NoSpacing"/>
        <w:numPr>
          <w:ilvl w:val="0"/>
          <w:numId w:val="7"/>
        </w:numPr>
        <w:rPr>
          <w:b/>
          <w:sz w:val="24"/>
          <w:szCs w:val="24"/>
        </w:rPr>
      </w:pPr>
      <w:r>
        <w:rPr>
          <w:sz w:val="24"/>
          <w:szCs w:val="24"/>
        </w:rPr>
        <w:t>Public or private educational institutions</w:t>
      </w:r>
    </w:p>
    <w:p w:rsidR="00D06106" w:rsidRDefault="00D06106" w:rsidP="00D06106">
      <w:pPr>
        <w:pStyle w:val="NoSpacing"/>
      </w:pPr>
    </w:p>
    <w:p w:rsidR="00BF4FB4" w:rsidRPr="00293522" w:rsidRDefault="00BF4FB4" w:rsidP="00D06106">
      <w:pPr>
        <w:pStyle w:val="NoSpacing"/>
        <w:rPr>
          <w:b/>
          <w:sz w:val="28"/>
          <w:szCs w:val="28"/>
        </w:rPr>
      </w:pPr>
      <w:r w:rsidRPr="00293522">
        <w:rPr>
          <w:b/>
          <w:sz w:val="28"/>
          <w:szCs w:val="28"/>
        </w:rPr>
        <w:t>ALLOWABLE COSTS/ACTIVITIES</w:t>
      </w:r>
    </w:p>
    <w:p w:rsidR="00BF4FB4" w:rsidRDefault="00BF4FB4" w:rsidP="00BF4FB4">
      <w:pPr>
        <w:pStyle w:val="NoSpacing"/>
        <w:ind w:left="360"/>
        <w:rPr>
          <w:sz w:val="24"/>
          <w:szCs w:val="24"/>
        </w:rPr>
      </w:pPr>
      <w:r>
        <w:rPr>
          <w:sz w:val="24"/>
          <w:szCs w:val="24"/>
        </w:rPr>
        <w:t>Reimbursement of employee training will allow for payment on the terms and conditions agreed to between the employer and Land of Lincoln Workforce Alliance through the execution of a contract.  The employee skill requirements and training needs are established by the employer and may include basic, technical or managerial skill sets.  Allowable costs may include:</w:t>
      </w:r>
    </w:p>
    <w:p w:rsidR="00BF4FB4" w:rsidRDefault="00BF4FB4" w:rsidP="00BF4FB4">
      <w:pPr>
        <w:pStyle w:val="NoSpacing"/>
        <w:numPr>
          <w:ilvl w:val="0"/>
          <w:numId w:val="8"/>
        </w:numPr>
        <w:rPr>
          <w:sz w:val="24"/>
          <w:szCs w:val="24"/>
        </w:rPr>
      </w:pPr>
      <w:r>
        <w:rPr>
          <w:sz w:val="24"/>
          <w:szCs w:val="24"/>
        </w:rPr>
        <w:t>Tuition and school fees</w:t>
      </w:r>
    </w:p>
    <w:p w:rsidR="00BF4FB4" w:rsidRDefault="00BF4FB4" w:rsidP="00BF4FB4">
      <w:pPr>
        <w:pStyle w:val="NoSpacing"/>
        <w:numPr>
          <w:ilvl w:val="0"/>
          <w:numId w:val="8"/>
        </w:numPr>
        <w:rPr>
          <w:sz w:val="24"/>
          <w:szCs w:val="24"/>
        </w:rPr>
      </w:pPr>
      <w:r>
        <w:rPr>
          <w:sz w:val="24"/>
          <w:szCs w:val="24"/>
        </w:rPr>
        <w:t>Books</w:t>
      </w:r>
    </w:p>
    <w:p w:rsidR="00BF4FB4" w:rsidRDefault="00BF4FB4" w:rsidP="00BF4FB4">
      <w:pPr>
        <w:pStyle w:val="NoSpacing"/>
        <w:numPr>
          <w:ilvl w:val="0"/>
          <w:numId w:val="8"/>
        </w:numPr>
        <w:rPr>
          <w:sz w:val="24"/>
          <w:szCs w:val="24"/>
        </w:rPr>
      </w:pPr>
      <w:r>
        <w:rPr>
          <w:sz w:val="24"/>
          <w:szCs w:val="24"/>
        </w:rPr>
        <w:t>Training materials and supplies</w:t>
      </w:r>
    </w:p>
    <w:p w:rsidR="00BF4FB4" w:rsidRDefault="00BF4FB4" w:rsidP="00BF4FB4">
      <w:pPr>
        <w:pStyle w:val="NoSpacing"/>
        <w:numPr>
          <w:ilvl w:val="0"/>
          <w:numId w:val="8"/>
        </w:numPr>
        <w:rPr>
          <w:sz w:val="24"/>
          <w:szCs w:val="24"/>
        </w:rPr>
      </w:pPr>
      <w:r>
        <w:rPr>
          <w:sz w:val="24"/>
          <w:szCs w:val="24"/>
        </w:rPr>
        <w:t>Vendor/contractor training costs</w:t>
      </w:r>
    </w:p>
    <w:p w:rsidR="00BF4FB4" w:rsidRDefault="00BF4FB4" w:rsidP="00BF4FB4">
      <w:pPr>
        <w:pStyle w:val="NoSpacing"/>
        <w:numPr>
          <w:ilvl w:val="0"/>
          <w:numId w:val="8"/>
        </w:numPr>
        <w:rPr>
          <w:sz w:val="24"/>
          <w:szCs w:val="24"/>
        </w:rPr>
      </w:pPr>
      <w:r>
        <w:rPr>
          <w:sz w:val="24"/>
          <w:szCs w:val="24"/>
        </w:rPr>
        <w:t>Fees for technical or professional certifications</w:t>
      </w:r>
    </w:p>
    <w:p w:rsidR="00BF4FB4" w:rsidRDefault="00BF4FB4" w:rsidP="00BF4FB4">
      <w:pPr>
        <w:pStyle w:val="NoSpacing"/>
        <w:numPr>
          <w:ilvl w:val="0"/>
          <w:numId w:val="8"/>
        </w:numPr>
        <w:rPr>
          <w:sz w:val="24"/>
          <w:szCs w:val="24"/>
        </w:rPr>
      </w:pPr>
      <w:r>
        <w:rPr>
          <w:sz w:val="24"/>
          <w:szCs w:val="24"/>
        </w:rPr>
        <w:t>Refresher courses for occupational certifications</w:t>
      </w:r>
    </w:p>
    <w:p w:rsidR="00BF4FB4" w:rsidRDefault="00BF4FB4" w:rsidP="00BF4FB4">
      <w:pPr>
        <w:pStyle w:val="NoSpacing"/>
        <w:numPr>
          <w:ilvl w:val="0"/>
          <w:numId w:val="8"/>
        </w:numPr>
        <w:rPr>
          <w:sz w:val="24"/>
          <w:szCs w:val="24"/>
        </w:rPr>
      </w:pPr>
      <w:r>
        <w:rPr>
          <w:sz w:val="24"/>
          <w:szCs w:val="24"/>
        </w:rPr>
        <w:t>Training Room Fees</w:t>
      </w:r>
    </w:p>
    <w:p w:rsidR="00150D5D" w:rsidRDefault="00150D5D" w:rsidP="00150D5D">
      <w:pPr>
        <w:pStyle w:val="NoSpacing"/>
        <w:ind w:left="720"/>
        <w:rPr>
          <w:sz w:val="24"/>
          <w:szCs w:val="24"/>
        </w:rPr>
      </w:pPr>
    </w:p>
    <w:p w:rsidR="00150D5D" w:rsidRDefault="00150D5D" w:rsidP="00150D5D">
      <w:pPr>
        <w:pStyle w:val="NoSpacing"/>
        <w:rPr>
          <w:sz w:val="24"/>
          <w:szCs w:val="24"/>
        </w:rPr>
      </w:pPr>
      <w:r>
        <w:rPr>
          <w:sz w:val="24"/>
          <w:szCs w:val="24"/>
        </w:rPr>
        <w:t>Note:  Training wages while in training may be used to meet the employer’s match requirement but are not reimbursable costs under this program.</w:t>
      </w:r>
    </w:p>
    <w:p w:rsidR="00150D5D" w:rsidRDefault="00150D5D" w:rsidP="00150D5D">
      <w:pPr>
        <w:pStyle w:val="NoSpacing"/>
        <w:rPr>
          <w:sz w:val="24"/>
          <w:szCs w:val="24"/>
        </w:rPr>
      </w:pPr>
    </w:p>
    <w:p w:rsidR="00150D5D" w:rsidRPr="00293522" w:rsidRDefault="00150D5D" w:rsidP="00150D5D">
      <w:pPr>
        <w:pStyle w:val="NoSpacing"/>
        <w:rPr>
          <w:b/>
          <w:sz w:val="28"/>
          <w:szCs w:val="28"/>
        </w:rPr>
      </w:pPr>
      <w:r w:rsidRPr="00293522">
        <w:rPr>
          <w:b/>
          <w:sz w:val="28"/>
          <w:szCs w:val="28"/>
        </w:rPr>
        <w:t>INELIGIBLE COSTS/A</w:t>
      </w:r>
      <w:r w:rsidR="007841D6" w:rsidRPr="00293522">
        <w:rPr>
          <w:b/>
          <w:sz w:val="28"/>
          <w:szCs w:val="28"/>
        </w:rPr>
        <w:t>CTIVITIES</w:t>
      </w:r>
    </w:p>
    <w:p w:rsidR="007841D6" w:rsidRDefault="007841D6" w:rsidP="00150D5D">
      <w:pPr>
        <w:pStyle w:val="NoSpacing"/>
        <w:rPr>
          <w:sz w:val="24"/>
          <w:szCs w:val="24"/>
        </w:rPr>
      </w:pPr>
      <w:r>
        <w:rPr>
          <w:sz w:val="24"/>
          <w:szCs w:val="24"/>
        </w:rPr>
        <w:t>The program will not reimburse a company for training in the following areas:</w:t>
      </w:r>
    </w:p>
    <w:p w:rsidR="007841D6" w:rsidRDefault="007841D6" w:rsidP="007841D6">
      <w:pPr>
        <w:pStyle w:val="NoSpacing"/>
        <w:numPr>
          <w:ilvl w:val="0"/>
          <w:numId w:val="9"/>
        </w:numPr>
        <w:rPr>
          <w:sz w:val="24"/>
          <w:szCs w:val="24"/>
        </w:rPr>
      </w:pPr>
      <w:r>
        <w:rPr>
          <w:sz w:val="24"/>
          <w:szCs w:val="24"/>
        </w:rPr>
        <w:t>Self-paced learning</w:t>
      </w:r>
    </w:p>
    <w:p w:rsidR="007841D6" w:rsidRDefault="007841D6" w:rsidP="007841D6">
      <w:pPr>
        <w:pStyle w:val="NoSpacing"/>
        <w:numPr>
          <w:ilvl w:val="0"/>
          <w:numId w:val="9"/>
        </w:numPr>
        <w:rPr>
          <w:sz w:val="24"/>
          <w:szCs w:val="24"/>
        </w:rPr>
      </w:pPr>
      <w:r>
        <w:rPr>
          <w:sz w:val="24"/>
          <w:szCs w:val="24"/>
        </w:rPr>
        <w:t>“Outward bound” or experiential training programs.</w:t>
      </w:r>
    </w:p>
    <w:p w:rsidR="007841D6" w:rsidRDefault="007841D6" w:rsidP="007841D6">
      <w:pPr>
        <w:pStyle w:val="NoSpacing"/>
        <w:numPr>
          <w:ilvl w:val="0"/>
          <w:numId w:val="9"/>
        </w:numPr>
        <w:rPr>
          <w:sz w:val="24"/>
          <w:szCs w:val="24"/>
        </w:rPr>
      </w:pPr>
      <w:r>
        <w:rPr>
          <w:sz w:val="24"/>
          <w:szCs w:val="24"/>
        </w:rPr>
        <w:t>Personal development courses</w:t>
      </w:r>
    </w:p>
    <w:p w:rsidR="007841D6" w:rsidRDefault="007841D6" w:rsidP="007841D6">
      <w:pPr>
        <w:pStyle w:val="NoSpacing"/>
        <w:numPr>
          <w:ilvl w:val="0"/>
          <w:numId w:val="9"/>
        </w:numPr>
        <w:rPr>
          <w:sz w:val="24"/>
          <w:szCs w:val="24"/>
        </w:rPr>
      </w:pPr>
      <w:r>
        <w:rPr>
          <w:sz w:val="24"/>
          <w:szCs w:val="24"/>
        </w:rPr>
        <w:t>Non-skill related assessment</w:t>
      </w:r>
    </w:p>
    <w:p w:rsidR="007841D6" w:rsidRDefault="007841D6" w:rsidP="007841D6">
      <w:pPr>
        <w:pStyle w:val="NoSpacing"/>
        <w:numPr>
          <w:ilvl w:val="0"/>
          <w:numId w:val="9"/>
        </w:numPr>
        <w:rPr>
          <w:sz w:val="24"/>
          <w:szCs w:val="24"/>
        </w:rPr>
      </w:pPr>
      <w:r>
        <w:rPr>
          <w:sz w:val="24"/>
          <w:szCs w:val="24"/>
        </w:rPr>
        <w:t>Administrative costs</w:t>
      </w:r>
    </w:p>
    <w:p w:rsidR="007841D6" w:rsidRDefault="007841D6" w:rsidP="007841D6">
      <w:pPr>
        <w:pStyle w:val="NoSpacing"/>
        <w:numPr>
          <w:ilvl w:val="0"/>
          <w:numId w:val="9"/>
        </w:numPr>
        <w:rPr>
          <w:sz w:val="24"/>
          <w:szCs w:val="24"/>
        </w:rPr>
      </w:pPr>
      <w:r>
        <w:rPr>
          <w:sz w:val="24"/>
          <w:szCs w:val="24"/>
        </w:rPr>
        <w:t>Food or travel expenses for employees</w:t>
      </w:r>
    </w:p>
    <w:p w:rsidR="007841D6" w:rsidRDefault="007841D6" w:rsidP="007841D6">
      <w:pPr>
        <w:pStyle w:val="NoSpacing"/>
        <w:numPr>
          <w:ilvl w:val="0"/>
          <w:numId w:val="9"/>
        </w:numPr>
        <w:rPr>
          <w:sz w:val="24"/>
          <w:szCs w:val="24"/>
        </w:rPr>
      </w:pPr>
      <w:r>
        <w:rPr>
          <w:sz w:val="24"/>
          <w:szCs w:val="24"/>
        </w:rPr>
        <w:t>Safety, regulatory compliance training mandated for the workplace (ie OSHA)</w:t>
      </w:r>
    </w:p>
    <w:p w:rsidR="007841D6" w:rsidRDefault="007841D6" w:rsidP="007841D6">
      <w:pPr>
        <w:pStyle w:val="NoSpacing"/>
        <w:numPr>
          <w:ilvl w:val="0"/>
          <w:numId w:val="9"/>
        </w:numPr>
        <w:rPr>
          <w:sz w:val="24"/>
          <w:szCs w:val="24"/>
        </w:rPr>
      </w:pPr>
      <w:r>
        <w:rPr>
          <w:sz w:val="24"/>
          <w:szCs w:val="24"/>
        </w:rPr>
        <w:t>“Off the shelf” computer software training</w:t>
      </w:r>
    </w:p>
    <w:p w:rsidR="007841D6" w:rsidRDefault="007841D6" w:rsidP="007841D6">
      <w:pPr>
        <w:pStyle w:val="NoSpacing"/>
        <w:numPr>
          <w:ilvl w:val="0"/>
          <w:numId w:val="9"/>
        </w:numPr>
        <w:rPr>
          <w:sz w:val="24"/>
          <w:szCs w:val="24"/>
        </w:rPr>
      </w:pPr>
      <w:r>
        <w:rPr>
          <w:sz w:val="24"/>
          <w:szCs w:val="24"/>
        </w:rPr>
        <w:t>Other non-job related training</w:t>
      </w:r>
    </w:p>
    <w:p w:rsidR="007841D6" w:rsidRDefault="007841D6" w:rsidP="007841D6">
      <w:pPr>
        <w:pStyle w:val="NoSpacing"/>
        <w:rPr>
          <w:sz w:val="24"/>
          <w:szCs w:val="24"/>
        </w:rPr>
      </w:pPr>
      <w:r>
        <w:rPr>
          <w:sz w:val="24"/>
          <w:szCs w:val="24"/>
        </w:rPr>
        <w:t>Additional the program will not reimburse for job design and analysis statements or activities (e.g. Work Keys), assessments of internal systems and other non-skill related assessments.</w:t>
      </w:r>
    </w:p>
    <w:p w:rsidR="007841D6" w:rsidRDefault="007841D6" w:rsidP="007841D6">
      <w:pPr>
        <w:pStyle w:val="NoSpacing"/>
        <w:rPr>
          <w:sz w:val="24"/>
          <w:szCs w:val="24"/>
        </w:rPr>
      </w:pPr>
    </w:p>
    <w:p w:rsidR="007841D6" w:rsidRPr="00293522" w:rsidRDefault="007841D6" w:rsidP="007841D6">
      <w:pPr>
        <w:pStyle w:val="NoSpacing"/>
        <w:rPr>
          <w:b/>
          <w:sz w:val="28"/>
          <w:szCs w:val="28"/>
        </w:rPr>
      </w:pPr>
      <w:r w:rsidRPr="00293522">
        <w:rPr>
          <w:b/>
          <w:sz w:val="28"/>
          <w:szCs w:val="28"/>
        </w:rPr>
        <w:t>APPLICATION PROCESS</w:t>
      </w:r>
    </w:p>
    <w:p w:rsidR="00CC2DB3" w:rsidRDefault="00CC2DB3" w:rsidP="007841D6">
      <w:pPr>
        <w:pStyle w:val="NoSpacing"/>
        <w:rPr>
          <w:sz w:val="24"/>
          <w:szCs w:val="24"/>
        </w:rPr>
      </w:pPr>
      <w:r>
        <w:rPr>
          <w:sz w:val="24"/>
          <w:szCs w:val="24"/>
        </w:rPr>
        <w:t>There is a two-step applications process</w:t>
      </w:r>
    </w:p>
    <w:p w:rsidR="00CC2DB3" w:rsidRPr="00CC2DB3" w:rsidRDefault="00CC2DB3" w:rsidP="00CC2DB3">
      <w:pPr>
        <w:pStyle w:val="NoSpacing"/>
        <w:numPr>
          <w:ilvl w:val="0"/>
          <w:numId w:val="10"/>
        </w:numPr>
        <w:rPr>
          <w:b/>
          <w:sz w:val="24"/>
          <w:szCs w:val="24"/>
        </w:rPr>
      </w:pPr>
      <w:r>
        <w:rPr>
          <w:b/>
          <w:sz w:val="24"/>
          <w:szCs w:val="24"/>
        </w:rPr>
        <w:t>Step One</w:t>
      </w:r>
      <w:r>
        <w:rPr>
          <w:sz w:val="24"/>
          <w:szCs w:val="24"/>
        </w:rPr>
        <w:t xml:space="preserve"> is the electronic submission of the </w:t>
      </w:r>
      <w:r w:rsidR="008275B0">
        <w:rPr>
          <w:sz w:val="24"/>
          <w:szCs w:val="24"/>
        </w:rPr>
        <w:t>Pre-Application Eligibility Questionnaire</w:t>
      </w:r>
      <w:r>
        <w:rPr>
          <w:sz w:val="24"/>
          <w:szCs w:val="24"/>
        </w:rPr>
        <w:t>. Once the Land of Lincoln Workforce Allianc</w:t>
      </w:r>
      <w:r w:rsidR="008275B0">
        <w:rPr>
          <w:sz w:val="24"/>
          <w:szCs w:val="24"/>
        </w:rPr>
        <w:t>e (LLWA) confirms eligibility, the a</w:t>
      </w:r>
      <w:r>
        <w:rPr>
          <w:sz w:val="24"/>
          <w:szCs w:val="24"/>
        </w:rPr>
        <w:t>pplicant will be notified by email to proceed submitting the program application.</w:t>
      </w:r>
    </w:p>
    <w:p w:rsidR="00CC2DB3" w:rsidRPr="00CC2DB3" w:rsidRDefault="00CC2DB3" w:rsidP="00CC2DB3">
      <w:pPr>
        <w:pStyle w:val="NoSpacing"/>
        <w:numPr>
          <w:ilvl w:val="0"/>
          <w:numId w:val="10"/>
        </w:numPr>
        <w:rPr>
          <w:b/>
          <w:sz w:val="24"/>
          <w:szCs w:val="24"/>
        </w:rPr>
      </w:pPr>
      <w:r>
        <w:rPr>
          <w:b/>
          <w:sz w:val="24"/>
          <w:szCs w:val="24"/>
        </w:rPr>
        <w:t>Step Two</w:t>
      </w:r>
      <w:r>
        <w:rPr>
          <w:sz w:val="24"/>
          <w:szCs w:val="24"/>
        </w:rPr>
        <w:t xml:space="preserve"> is the electronic submission of a complete Employee Training Program Application and required attachments.</w:t>
      </w:r>
    </w:p>
    <w:p w:rsidR="00CC2DB3" w:rsidRDefault="00CC2DB3" w:rsidP="00CC2DB3">
      <w:pPr>
        <w:pStyle w:val="NoSpacing"/>
        <w:rPr>
          <w:b/>
          <w:sz w:val="24"/>
          <w:szCs w:val="24"/>
        </w:rPr>
      </w:pPr>
    </w:p>
    <w:p w:rsidR="00CC2DB3" w:rsidRDefault="00CC2DB3" w:rsidP="00CC2DB3">
      <w:pPr>
        <w:pStyle w:val="NoSpacing"/>
        <w:rPr>
          <w:sz w:val="24"/>
          <w:szCs w:val="24"/>
        </w:rPr>
      </w:pPr>
      <w:r>
        <w:rPr>
          <w:sz w:val="24"/>
          <w:szCs w:val="24"/>
        </w:rPr>
        <w:t>Receipt of an application does not commit the LLWA to award funding.  The contents of an approved application will become part of the Contract.  No costs incurred in the preparation and submission of an application is eligible for reimbursement.</w:t>
      </w:r>
    </w:p>
    <w:p w:rsidR="00CC2DB3" w:rsidRDefault="00CC2DB3" w:rsidP="00CC2DB3">
      <w:pPr>
        <w:pStyle w:val="NoSpacing"/>
        <w:rPr>
          <w:sz w:val="24"/>
          <w:szCs w:val="24"/>
        </w:rPr>
      </w:pPr>
    </w:p>
    <w:p w:rsidR="00CC2DB3" w:rsidRPr="00CC2DB3" w:rsidRDefault="00BE0206" w:rsidP="00CC2DB3">
      <w:pPr>
        <w:pStyle w:val="NoSpacing"/>
        <w:rPr>
          <w:sz w:val="24"/>
          <w:szCs w:val="24"/>
        </w:rPr>
      </w:pPr>
      <w:r>
        <w:rPr>
          <w:sz w:val="24"/>
          <w:szCs w:val="24"/>
        </w:rPr>
        <w:t>Copies of the application can be downloaded from t</w:t>
      </w:r>
      <w:r w:rsidR="00293522">
        <w:rPr>
          <w:sz w:val="24"/>
          <w:szCs w:val="24"/>
        </w:rPr>
        <w:t xml:space="preserve">he </w:t>
      </w:r>
      <w:r w:rsidR="008275B0">
        <w:rPr>
          <w:sz w:val="24"/>
          <w:szCs w:val="24"/>
        </w:rPr>
        <w:t>LLWA website at:  worknet20.org, click on News – Funding Opportunities or by e-mailing:  BIZrep@worknet20.org,.</w:t>
      </w:r>
    </w:p>
    <w:p w:rsidR="00BF4FB4" w:rsidRDefault="00BF4FB4" w:rsidP="00BF4FB4">
      <w:pPr>
        <w:pStyle w:val="NoSpacing"/>
        <w:rPr>
          <w:sz w:val="24"/>
          <w:szCs w:val="24"/>
        </w:rPr>
      </w:pPr>
    </w:p>
    <w:p w:rsidR="00BF4FB4" w:rsidRPr="00BF4FB4" w:rsidRDefault="00BF4FB4" w:rsidP="00BF4FB4">
      <w:pPr>
        <w:pStyle w:val="NoSpacing"/>
        <w:rPr>
          <w:sz w:val="24"/>
          <w:szCs w:val="24"/>
        </w:rPr>
      </w:pPr>
    </w:p>
    <w:p w:rsidR="00730D9E" w:rsidRDefault="00730D9E" w:rsidP="00BF4FB4">
      <w:pPr>
        <w:pStyle w:val="NoSpacing"/>
        <w:ind w:left="420"/>
        <w:rPr>
          <w:sz w:val="24"/>
          <w:szCs w:val="24"/>
        </w:rPr>
      </w:pPr>
    </w:p>
    <w:p w:rsidR="00730D9E" w:rsidRDefault="00730D9E" w:rsidP="00730D9E">
      <w:pPr>
        <w:pStyle w:val="NoSpacing"/>
        <w:ind w:left="780"/>
        <w:rPr>
          <w:sz w:val="24"/>
          <w:szCs w:val="24"/>
        </w:rPr>
      </w:pPr>
    </w:p>
    <w:p w:rsidR="00815229" w:rsidRPr="00D452E8" w:rsidRDefault="00815229" w:rsidP="00815229">
      <w:pPr>
        <w:pStyle w:val="NoSpacing"/>
        <w:rPr>
          <w:sz w:val="24"/>
          <w:szCs w:val="24"/>
        </w:rPr>
      </w:pPr>
    </w:p>
    <w:sectPr w:rsidR="00815229" w:rsidRPr="00D452E8" w:rsidSect="00730A0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D5" w:rsidRDefault="004F53D5" w:rsidP="008275B0">
      <w:pPr>
        <w:spacing w:after="0" w:line="240" w:lineRule="auto"/>
      </w:pPr>
      <w:r>
        <w:separator/>
      </w:r>
    </w:p>
  </w:endnote>
  <w:endnote w:type="continuationSeparator" w:id="0">
    <w:p w:rsidR="004F53D5" w:rsidRDefault="004F53D5" w:rsidP="0082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B0" w:rsidRDefault="00827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155735"/>
      <w:docPartObj>
        <w:docPartGallery w:val="Page Numbers (Bottom of Page)"/>
        <w:docPartUnique/>
      </w:docPartObj>
    </w:sdtPr>
    <w:sdtEndPr>
      <w:rPr>
        <w:noProof/>
      </w:rPr>
    </w:sdtEndPr>
    <w:sdtContent>
      <w:p w:rsidR="008275B0" w:rsidRDefault="008275B0">
        <w:pPr>
          <w:pStyle w:val="Footer"/>
          <w:jc w:val="right"/>
        </w:pPr>
        <w:r>
          <w:fldChar w:fldCharType="begin"/>
        </w:r>
        <w:r>
          <w:instrText xml:space="preserve"> PAGE   \* MERGEFORMAT </w:instrText>
        </w:r>
        <w:r>
          <w:fldChar w:fldCharType="separate"/>
        </w:r>
        <w:r w:rsidR="00ED0C0C">
          <w:rPr>
            <w:noProof/>
          </w:rPr>
          <w:t>4</w:t>
        </w:r>
        <w:r>
          <w:rPr>
            <w:noProof/>
          </w:rPr>
          <w:fldChar w:fldCharType="end"/>
        </w:r>
      </w:p>
    </w:sdtContent>
  </w:sdt>
  <w:p w:rsidR="008275B0" w:rsidRDefault="008275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B0" w:rsidRDefault="00827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D5" w:rsidRDefault="004F53D5" w:rsidP="008275B0">
      <w:pPr>
        <w:spacing w:after="0" w:line="240" w:lineRule="auto"/>
      </w:pPr>
      <w:r>
        <w:separator/>
      </w:r>
    </w:p>
  </w:footnote>
  <w:footnote w:type="continuationSeparator" w:id="0">
    <w:p w:rsidR="004F53D5" w:rsidRDefault="004F53D5" w:rsidP="00827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B0" w:rsidRDefault="00827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B0" w:rsidRDefault="00827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B0" w:rsidRDefault="00827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1503"/>
    <w:multiLevelType w:val="hybridMultilevel"/>
    <w:tmpl w:val="7940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16615"/>
    <w:multiLevelType w:val="hybridMultilevel"/>
    <w:tmpl w:val="0A94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050F3"/>
    <w:multiLevelType w:val="hybridMultilevel"/>
    <w:tmpl w:val="5D1EE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3A357D"/>
    <w:multiLevelType w:val="hybridMultilevel"/>
    <w:tmpl w:val="7C0E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67938"/>
    <w:multiLevelType w:val="hybridMultilevel"/>
    <w:tmpl w:val="7BAE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CF6ACD"/>
    <w:multiLevelType w:val="hybridMultilevel"/>
    <w:tmpl w:val="1B08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219B1"/>
    <w:multiLevelType w:val="hybridMultilevel"/>
    <w:tmpl w:val="9AE481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9372DA8"/>
    <w:multiLevelType w:val="hybridMultilevel"/>
    <w:tmpl w:val="3C3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0C5A53"/>
    <w:multiLevelType w:val="hybridMultilevel"/>
    <w:tmpl w:val="BB78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54DB4"/>
    <w:multiLevelType w:val="hybridMultilevel"/>
    <w:tmpl w:val="4E5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6"/>
  </w:num>
  <w:num w:numId="6">
    <w:abstractNumId w:val="1"/>
  </w:num>
  <w:num w:numId="7">
    <w:abstractNumId w:val="7"/>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9E"/>
    <w:rsid w:val="001137A8"/>
    <w:rsid w:val="0014033C"/>
    <w:rsid w:val="00150D5D"/>
    <w:rsid w:val="00220D87"/>
    <w:rsid w:val="00293522"/>
    <w:rsid w:val="00444C6D"/>
    <w:rsid w:val="004F53D5"/>
    <w:rsid w:val="00730A0C"/>
    <w:rsid w:val="00730D9E"/>
    <w:rsid w:val="0076079E"/>
    <w:rsid w:val="007841D6"/>
    <w:rsid w:val="007B5955"/>
    <w:rsid w:val="00815229"/>
    <w:rsid w:val="008275B0"/>
    <w:rsid w:val="00AD01E1"/>
    <w:rsid w:val="00B922FA"/>
    <w:rsid w:val="00BE0206"/>
    <w:rsid w:val="00BF4FB4"/>
    <w:rsid w:val="00C23CE2"/>
    <w:rsid w:val="00CC2DB3"/>
    <w:rsid w:val="00D06106"/>
    <w:rsid w:val="00D452E8"/>
    <w:rsid w:val="00E84BE7"/>
    <w:rsid w:val="00ED0C0C"/>
    <w:rsid w:val="00FA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0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9E"/>
    <w:rPr>
      <w:rFonts w:ascii="Tahoma" w:hAnsi="Tahoma" w:cs="Tahoma"/>
      <w:sz w:val="16"/>
      <w:szCs w:val="16"/>
    </w:rPr>
  </w:style>
  <w:style w:type="character" w:customStyle="1" w:styleId="Heading1Char">
    <w:name w:val="Heading 1 Char"/>
    <w:basedOn w:val="DefaultParagraphFont"/>
    <w:link w:val="Heading1"/>
    <w:uiPriority w:val="9"/>
    <w:rsid w:val="0076079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6079E"/>
    <w:pPr>
      <w:spacing w:after="0" w:line="240" w:lineRule="auto"/>
    </w:pPr>
  </w:style>
  <w:style w:type="paragraph" w:styleId="Header">
    <w:name w:val="header"/>
    <w:basedOn w:val="Normal"/>
    <w:link w:val="HeaderChar"/>
    <w:uiPriority w:val="99"/>
    <w:unhideWhenUsed/>
    <w:rsid w:val="00827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5B0"/>
  </w:style>
  <w:style w:type="paragraph" w:styleId="Footer">
    <w:name w:val="footer"/>
    <w:basedOn w:val="Normal"/>
    <w:link w:val="FooterChar"/>
    <w:uiPriority w:val="99"/>
    <w:unhideWhenUsed/>
    <w:rsid w:val="00827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0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9E"/>
    <w:rPr>
      <w:rFonts w:ascii="Tahoma" w:hAnsi="Tahoma" w:cs="Tahoma"/>
      <w:sz w:val="16"/>
      <w:szCs w:val="16"/>
    </w:rPr>
  </w:style>
  <w:style w:type="character" w:customStyle="1" w:styleId="Heading1Char">
    <w:name w:val="Heading 1 Char"/>
    <w:basedOn w:val="DefaultParagraphFont"/>
    <w:link w:val="Heading1"/>
    <w:uiPriority w:val="9"/>
    <w:rsid w:val="0076079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6079E"/>
    <w:pPr>
      <w:spacing w:after="0" w:line="240" w:lineRule="auto"/>
    </w:pPr>
  </w:style>
  <w:style w:type="paragraph" w:styleId="Header">
    <w:name w:val="header"/>
    <w:basedOn w:val="Normal"/>
    <w:link w:val="HeaderChar"/>
    <w:uiPriority w:val="99"/>
    <w:unhideWhenUsed/>
    <w:rsid w:val="00827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5B0"/>
  </w:style>
  <w:style w:type="paragraph" w:styleId="Footer">
    <w:name w:val="footer"/>
    <w:basedOn w:val="Normal"/>
    <w:link w:val="FooterChar"/>
    <w:uiPriority w:val="99"/>
    <w:unhideWhenUsed/>
    <w:rsid w:val="00827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EE82-3BBF-4D15-A70F-478486CD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Murphy</dc:creator>
  <cp:lastModifiedBy>Brenda Patterson</cp:lastModifiedBy>
  <cp:revision>2</cp:revision>
  <dcterms:created xsi:type="dcterms:W3CDTF">2017-03-09T14:45:00Z</dcterms:created>
  <dcterms:modified xsi:type="dcterms:W3CDTF">2017-03-09T14:45:00Z</dcterms:modified>
</cp:coreProperties>
</file>